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  </w:t>
      </w:r>
    </w:p>
    <w:p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华文中宋" w:cs="Times New Roman"/>
          <w:sz w:val="30"/>
          <w:szCs w:val="30"/>
        </w:rPr>
        <w:t>高等学校固定资产折旧年限表</w:t>
      </w:r>
    </w:p>
    <w:tbl>
      <w:tblPr>
        <w:tblStyle w:val="12"/>
        <w:tblpPr w:leftFromText="180" w:rightFromText="180" w:vertAnchor="text" w:horzAnchor="margin" w:tblpY="380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1766"/>
        <w:gridCol w:w="325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4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固定资产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类别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折旧年限（年）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一、房屋及构筑物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1.房屋</w:t>
            </w:r>
          </w:p>
        </w:tc>
        <w:tc>
          <w:tcPr>
            <w:tcW w:w="1766" w:type="dxa"/>
            <w:vAlign w:val="center"/>
          </w:tcPr>
          <w:p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vAlign w:val="center"/>
          </w:tcPr>
          <w:p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钢结构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259" w:type="dxa"/>
          </w:tcPr>
          <w:p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钢筋混凝土结构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259" w:type="dxa"/>
          </w:tcPr>
          <w:p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砖混结构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259" w:type="dxa"/>
          </w:tcPr>
          <w:p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砖木结构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259" w:type="dxa"/>
          </w:tcPr>
          <w:p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2.简易房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59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3.房屋附属设施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59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围墙、停车设施等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4.构筑物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59" w:type="dxa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池、罐、槽、塔等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二、通用设备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1.计算机设备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计算机、网络设备、安全设备、终端设备、存储设备等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2.办公设备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59" w:type="dxa"/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电话机、传真机、摄像机、刻录机等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3.车辆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5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载货汽车、牵引汽车、乘用车、专用车辆等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4.图书档案设备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7" w:type="dxa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5.机械设备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锅炉、液压机械、金属加工设备、泵、风机、气体压缩机、气体分离及液化设备、分离及干燥设备等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6.电气设备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电机、变压器、电源设备、生活用电器等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7.雷达、无线电和卫星导航设备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8.通信设备、广播、电视、电影设备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9.仪器仪表、电子和通信测量仪器、计量标准器具及量具、衡器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10.除上述以外其他通用设备</w:t>
            </w:r>
          </w:p>
        </w:tc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line="400" w:lineRule="exact"/>
              <w:ind w:right="-8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三、专用设备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1.探矿、采矿、选矿和造块设备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2.石油天然气开采专用设备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3.石油和化学工业专用设备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4.炼焦和金属冶炼轧制设备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5.电力工业专用设备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259" w:type="dxa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6.核工业专用设备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259" w:type="dxa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7.航空航天工业专用设备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259" w:type="dxa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8.非金属矿物制品工业专用设备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9.工程机械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10.农业和林业机械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11.木材采集和加工设备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12.食品加工专用设备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13.饮料加工设备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14.烟草加工设备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15.粮油作物和饲料加工设备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16.纺织设备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17.缝纫、服饰、制革和毛皮加工设备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18.造纸和印刷机械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19.化学药品和中药专用设备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20.医疗设备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21.电工、电子专用生产设备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22.安全生产设备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23.邮政专用设备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24.环境污染防治设备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25.公安专用设备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26.水工机械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27.殡葬设备及用品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28.铁路运输设备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29.水上交通运输设备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30.航空器及其配套设备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31.专用仪器仪表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32.文艺设备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33.体育设备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34.娱乐设备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四、家具、用具、装具</w:t>
            </w:r>
          </w:p>
        </w:tc>
        <w:tc>
          <w:tcPr>
            <w:tcW w:w="1766" w:type="dxa"/>
            <w:vAlign w:val="center"/>
          </w:tcPr>
          <w:p>
            <w:pPr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1.家具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259" w:type="dxa"/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其中：学生用家具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97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2.用具、装具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4F1FBA"/>
    <w:rsid w:val="0000707B"/>
    <w:rsid w:val="00020DA7"/>
    <w:rsid w:val="00024550"/>
    <w:rsid w:val="000338DD"/>
    <w:rsid w:val="000605FE"/>
    <w:rsid w:val="000611BC"/>
    <w:rsid w:val="00061E79"/>
    <w:rsid w:val="000838C6"/>
    <w:rsid w:val="000A3690"/>
    <w:rsid w:val="000A788C"/>
    <w:rsid w:val="000B5A56"/>
    <w:rsid w:val="000B64D4"/>
    <w:rsid w:val="000E175A"/>
    <w:rsid w:val="000E484A"/>
    <w:rsid w:val="001050C0"/>
    <w:rsid w:val="0010518F"/>
    <w:rsid w:val="00110B0A"/>
    <w:rsid w:val="0013179F"/>
    <w:rsid w:val="0015031B"/>
    <w:rsid w:val="0015099F"/>
    <w:rsid w:val="0017513B"/>
    <w:rsid w:val="00195998"/>
    <w:rsid w:val="001959B1"/>
    <w:rsid w:val="00197B41"/>
    <w:rsid w:val="00197C1A"/>
    <w:rsid w:val="001B70DB"/>
    <w:rsid w:val="001C0CFE"/>
    <w:rsid w:val="00217125"/>
    <w:rsid w:val="0027026E"/>
    <w:rsid w:val="002863F4"/>
    <w:rsid w:val="0028778A"/>
    <w:rsid w:val="002A131C"/>
    <w:rsid w:val="002A4C6B"/>
    <w:rsid w:val="002A5A87"/>
    <w:rsid w:val="002B4ABE"/>
    <w:rsid w:val="002C494A"/>
    <w:rsid w:val="003526C6"/>
    <w:rsid w:val="00361B8C"/>
    <w:rsid w:val="00383016"/>
    <w:rsid w:val="00383217"/>
    <w:rsid w:val="003A6816"/>
    <w:rsid w:val="003B1E72"/>
    <w:rsid w:val="003D1D92"/>
    <w:rsid w:val="003D3F01"/>
    <w:rsid w:val="003D6FDC"/>
    <w:rsid w:val="00401C73"/>
    <w:rsid w:val="004058CB"/>
    <w:rsid w:val="00453E2E"/>
    <w:rsid w:val="004552BD"/>
    <w:rsid w:val="00475416"/>
    <w:rsid w:val="00482FFE"/>
    <w:rsid w:val="004840F8"/>
    <w:rsid w:val="00496E76"/>
    <w:rsid w:val="004A4949"/>
    <w:rsid w:val="004B3830"/>
    <w:rsid w:val="004F1123"/>
    <w:rsid w:val="005223BF"/>
    <w:rsid w:val="005224DC"/>
    <w:rsid w:val="0053272A"/>
    <w:rsid w:val="00547FE1"/>
    <w:rsid w:val="00567AB3"/>
    <w:rsid w:val="0057050F"/>
    <w:rsid w:val="005709AF"/>
    <w:rsid w:val="0057277D"/>
    <w:rsid w:val="00583C20"/>
    <w:rsid w:val="005A423B"/>
    <w:rsid w:val="005A616C"/>
    <w:rsid w:val="005C45A0"/>
    <w:rsid w:val="00613652"/>
    <w:rsid w:val="00616F3B"/>
    <w:rsid w:val="0061737B"/>
    <w:rsid w:val="00617623"/>
    <w:rsid w:val="006252BF"/>
    <w:rsid w:val="00657CEE"/>
    <w:rsid w:val="00661F05"/>
    <w:rsid w:val="0067262E"/>
    <w:rsid w:val="00673BC3"/>
    <w:rsid w:val="006849B0"/>
    <w:rsid w:val="00697427"/>
    <w:rsid w:val="006A6798"/>
    <w:rsid w:val="006C59F7"/>
    <w:rsid w:val="006D2CCE"/>
    <w:rsid w:val="00722311"/>
    <w:rsid w:val="0074127D"/>
    <w:rsid w:val="00744B80"/>
    <w:rsid w:val="007453D9"/>
    <w:rsid w:val="00747345"/>
    <w:rsid w:val="00747A1D"/>
    <w:rsid w:val="007577B4"/>
    <w:rsid w:val="00767CE1"/>
    <w:rsid w:val="00793B45"/>
    <w:rsid w:val="007A0D01"/>
    <w:rsid w:val="007D0990"/>
    <w:rsid w:val="007D1149"/>
    <w:rsid w:val="007E3ED8"/>
    <w:rsid w:val="00810F27"/>
    <w:rsid w:val="00820615"/>
    <w:rsid w:val="00837CB1"/>
    <w:rsid w:val="00843AD9"/>
    <w:rsid w:val="00844A6C"/>
    <w:rsid w:val="00856E2A"/>
    <w:rsid w:val="0086281C"/>
    <w:rsid w:val="00866064"/>
    <w:rsid w:val="0089027E"/>
    <w:rsid w:val="00895733"/>
    <w:rsid w:val="008A05D7"/>
    <w:rsid w:val="008B0298"/>
    <w:rsid w:val="008E23B5"/>
    <w:rsid w:val="008E61C0"/>
    <w:rsid w:val="008F706C"/>
    <w:rsid w:val="009220BE"/>
    <w:rsid w:val="00924A79"/>
    <w:rsid w:val="00935227"/>
    <w:rsid w:val="00937662"/>
    <w:rsid w:val="00955841"/>
    <w:rsid w:val="00980F5E"/>
    <w:rsid w:val="00990CF7"/>
    <w:rsid w:val="009E26CD"/>
    <w:rsid w:val="00A0172A"/>
    <w:rsid w:val="00A04A97"/>
    <w:rsid w:val="00A04AC6"/>
    <w:rsid w:val="00A10BB4"/>
    <w:rsid w:val="00A11137"/>
    <w:rsid w:val="00A12B64"/>
    <w:rsid w:val="00A15C87"/>
    <w:rsid w:val="00A16C97"/>
    <w:rsid w:val="00A3698D"/>
    <w:rsid w:val="00A37A8F"/>
    <w:rsid w:val="00A41E81"/>
    <w:rsid w:val="00A42514"/>
    <w:rsid w:val="00A451A4"/>
    <w:rsid w:val="00A62852"/>
    <w:rsid w:val="00A65857"/>
    <w:rsid w:val="00A71C6E"/>
    <w:rsid w:val="00A77DC0"/>
    <w:rsid w:val="00AB0752"/>
    <w:rsid w:val="00AB60CD"/>
    <w:rsid w:val="00AC0E10"/>
    <w:rsid w:val="00AC1112"/>
    <w:rsid w:val="00AE1FF9"/>
    <w:rsid w:val="00AE5F2D"/>
    <w:rsid w:val="00AF5F4E"/>
    <w:rsid w:val="00B00250"/>
    <w:rsid w:val="00B01B9D"/>
    <w:rsid w:val="00B10BBC"/>
    <w:rsid w:val="00B24623"/>
    <w:rsid w:val="00B3611B"/>
    <w:rsid w:val="00B4527A"/>
    <w:rsid w:val="00B74F3D"/>
    <w:rsid w:val="00B77B64"/>
    <w:rsid w:val="00B90006"/>
    <w:rsid w:val="00B911A5"/>
    <w:rsid w:val="00B91DA8"/>
    <w:rsid w:val="00BA09FC"/>
    <w:rsid w:val="00BA2224"/>
    <w:rsid w:val="00BA2364"/>
    <w:rsid w:val="00BD06E2"/>
    <w:rsid w:val="00BE3B86"/>
    <w:rsid w:val="00C104C6"/>
    <w:rsid w:val="00C356CC"/>
    <w:rsid w:val="00C4110A"/>
    <w:rsid w:val="00C448D4"/>
    <w:rsid w:val="00C44FDE"/>
    <w:rsid w:val="00C803B7"/>
    <w:rsid w:val="00CA12C8"/>
    <w:rsid w:val="00CC00E6"/>
    <w:rsid w:val="00CC37E3"/>
    <w:rsid w:val="00CE06C0"/>
    <w:rsid w:val="00CE1E6A"/>
    <w:rsid w:val="00CE4B6F"/>
    <w:rsid w:val="00D06DDA"/>
    <w:rsid w:val="00D10D57"/>
    <w:rsid w:val="00D11888"/>
    <w:rsid w:val="00D363E7"/>
    <w:rsid w:val="00D369CC"/>
    <w:rsid w:val="00D405C6"/>
    <w:rsid w:val="00D52029"/>
    <w:rsid w:val="00D54783"/>
    <w:rsid w:val="00D6008C"/>
    <w:rsid w:val="00D75730"/>
    <w:rsid w:val="00D85D6D"/>
    <w:rsid w:val="00D94911"/>
    <w:rsid w:val="00DA3FBE"/>
    <w:rsid w:val="00DB1937"/>
    <w:rsid w:val="00DF50FE"/>
    <w:rsid w:val="00E0372A"/>
    <w:rsid w:val="00E33366"/>
    <w:rsid w:val="00E3384E"/>
    <w:rsid w:val="00E3424A"/>
    <w:rsid w:val="00E45209"/>
    <w:rsid w:val="00E57C89"/>
    <w:rsid w:val="00E660A3"/>
    <w:rsid w:val="00EB6991"/>
    <w:rsid w:val="00EB7444"/>
    <w:rsid w:val="00EC07B6"/>
    <w:rsid w:val="00EC1E9D"/>
    <w:rsid w:val="00ED3063"/>
    <w:rsid w:val="00ED39F4"/>
    <w:rsid w:val="00EE2310"/>
    <w:rsid w:val="00EF4E81"/>
    <w:rsid w:val="00F021A3"/>
    <w:rsid w:val="00F13E83"/>
    <w:rsid w:val="00F2217C"/>
    <w:rsid w:val="00F33AAF"/>
    <w:rsid w:val="00F521B8"/>
    <w:rsid w:val="00F52B5B"/>
    <w:rsid w:val="00F9610B"/>
    <w:rsid w:val="00F97A3E"/>
    <w:rsid w:val="00FB5B0D"/>
    <w:rsid w:val="00FB5FD3"/>
    <w:rsid w:val="00FC2FBD"/>
    <w:rsid w:val="00FD2536"/>
    <w:rsid w:val="00FD4056"/>
    <w:rsid w:val="00FD73C3"/>
    <w:rsid w:val="00FE44C2"/>
    <w:rsid w:val="07D74946"/>
    <w:rsid w:val="09D12077"/>
    <w:rsid w:val="0AE26562"/>
    <w:rsid w:val="16F02037"/>
    <w:rsid w:val="1E0D2464"/>
    <w:rsid w:val="1F425F80"/>
    <w:rsid w:val="2269174F"/>
    <w:rsid w:val="22F64A27"/>
    <w:rsid w:val="25E20B20"/>
    <w:rsid w:val="294F1FBA"/>
    <w:rsid w:val="2A486C55"/>
    <w:rsid w:val="2A5336C6"/>
    <w:rsid w:val="30EF67CF"/>
    <w:rsid w:val="33025F9D"/>
    <w:rsid w:val="34C60EDC"/>
    <w:rsid w:val="35795E34"/>
    <w:rsid w:val="386A560D"/>
    <w:rsid w:val="38FD037C"/>
    <w:rsid w:val="3BEE3DD7"/>
    <w:rsid w:val="3C126E2B"/>
    <w:rsid w:val="3FC04348"/>
    <w:rsid w:val="401163D1"/>
    <w:rsid w:val="42A417CE"/>
    <w:rsid w:val="44913E70"/>
    <w:rsid w:val="4A0520AF"/>
    <w:rsid w:val="4BE049E5"/>
    <w:rsid w:val="507052FF"/>
    <w:rsid w:val="52643E3E"/>
    <w:rsid w:val="529B69CB"/>
    <w:rsid w:val="5447615F"/>
    <w:rsid w:val="549B6AA5"/>
    <w:rsid w:val="553A143E"/>
    <w:rsid w:val="564770A7"/>
    <w:rsid w:val="56D6263D"/>
    <w:rsid w:val="592670B1"/>
    <w:rsid w:val="599F2944"/>
    <w:rsid w:val="62057777"/>
    <w:rsid w:val="63DE7B30"/>
    <w:rsid w:val="66E57608"/>
    <w:rsid w:val="676003FF"/>
    <w:rsid w:val="68581DA8"/>
    <w:rsid w:val="697B6D9F"/>
    <w:rsid w:val="6D535020"/>
    <w:rsid w:val="6ED8715F"/>
    <w:rsid w:val="715318AF"/>
    <w:rsid w:val="71D0675B"/>
    <w:rsid w:val="74E00713"/>
    <w:rsid w:val="78EA37AE"/>
    <w:rsid w:val="7BA3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5"/>
    <w:qFormat/>
    <w:uiPriority w:val="0"/>
    <w:rPr>
      <w:b/>
      <w:bCs/>
    </w:rPr>
  </w:style>
  <w:style w:type="paragraph" w:styleId="4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styleId="11">
    <w:name w:val="footnote reference"/>
    <w:basedOn w:val="9"/>
    <w:qFormat/>
    <w:uiPriority w:val="0"/>
    <w:rPr>
      <w:vertAlign w:val="superscript"/>
    </w:rPr>
  </w:style>
  <w:style w:type="character" w:customStyle="1" w:styleId="13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9"/>
    <w:link w:val="4"/>
    <w:semiHidden/>
    <w:qFormat/>
    <w:uiPriority w:val="99"/>
    <w:rPr>
      <w:kern w:val="2"/>
      <w:sz w:val="21"/>
      <w:szCs w:val="24"/>
    </w:rPr>
  </w:style>
  <w:style w:type="character" w:customStyle="1" w:styleId="15">
    <w:name w:val="批注主题 Char"/>
    <w:basedOn w:val="14"/>
    <w:link w:val="3"/>
    <w:qFormat/>
    <w:uiPriority w:val="0"/>
    <w:rPr>
      <w:kern w:val="2"/>
      <w:sz w:val="21"/>
      <w:szCs w:val="24"/>
    </w:rPr>
  </w:style>
  <w:style w:type="character" w:customStyle="1" w:styleId="16">
    <w:name w:val="标题 2 Char"/>
    <w:basedOn w:val="9"/>
    <w:link w:val="2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F8EA49-39C6-40EA-ABF3-A01AD41C6F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20</Pages>
  <Words>1463</Words>
  <Characters>8344</Characters>
  <Lines>69</Lines>
  <Paragraphs>19</Paragraphs>
  <TotalTime>79</TotalTime>
  <ScaleCrop>false</ScaleCrop>
  <LinksUpToDate>false</LinksUpToDate>
  <CharactersWithSpaces>9788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2018-07-27T00:46:00Z</dcterms:created>
  <dc:creator>wangy</dc:creator>
  <cp:lastModifiedBy>鸢尾花</cp:lastModifiedBy>
  <cp:lastPrinted>2018-07-18T02:16:00Z</cp:lastPrinted>
  <dcterms:modified xsi:type="dcterms:W3CDTF">2018-10-19T08:11:35Z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